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4.3.0.0 -->
  <w:background w:color="ffffff">
    <v:background id="_x0000_s1025" filled="t" fillcolor="white"/>
  </w:background>
  <w:body>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1. </w:t>
            </w:r>
            <w:r>
              <w:rPr>
                <w:rStyle w:val="DefaultParagraphFont"/>
                <w:rFonts w:ascii="Times New Roman" w:eastAsia="Times New Roman" w:hAnsi="Times New Roman" w:cs="Times New Roman"/>
                <w:b w:val="0"/>
                <w:bCs w:val="0"/>
                <w:i w:val="0"/>
                <w:iCs w:val="0"/>
                <w:smallCaps w:val="0"/>
                <w:color w:val="000000"/>
                <w:sz w:val="22"/>
                <w:szCs w:val="22"/>
                <w:bdr w:val="nil"/>
                <w:rtl w:val="0"/>
              </w:rPr>
              <w:t>The role of a trainer has changed from a knowledge-keeper to a knowledge-facilitator.</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415"/>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2. </w:t>
            </w:r>
            <w:r>
              <w:rPr>
                <w:rStyle w:val="DefaultParagraphFont"/>
                <w:rFonts w:ascii="Times New Roman" w:eastAsia="Times New Roman" w:hAnsi="Times New Roman" w:cs="Times New Roman"/>
                <w:b w:val="0"/>
                <w:bCs w:val="0"/>
                <w:i w:val="0"/>
                <w:iCs w:val="0"/>
                <w:smallCaps w:val="0"/>
                <w:color w:val="000000"/>
                <w:sz w:val="22"/>
                <w:szCs w:val="22"/>
                <w:bdr w:val="nil"/>
                <w:rtl w:val="0"/>
              </w:rPr>
              <w:t>The role of the training professional has over time evolved from being a staff employee to being a strategic business partner.</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415"/>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3. </w:t>
            </w:r>
            <w:r>
              <w:rPr>
                <w:rStyle w:val="DefaultParagraphFont"/>
                <w:rFonts w:ascii="Times New Roman" w:eastAsia="Times New Roman" w:hAnsi="Times New Roman" w:cs="Times New Roman"/>
                <w:b w:val="0"/>
                <w:bCs w:val="0"/>
                <w:i w:val="0"/>
                <w:iCs w:val="0"/>
                <w:smallCaps w:val="0"/>
                <w:color w:val="000000"/>
                <w:sz w:val="22"/>
                <w:szCs w:val="22"/>
                <w:bdr w:val="nil"/>
                <w:rtl w:val="0"/>
              </w:rPr>
              <w:t>Learning and development professionals should encourage and develop processes that facilitate the creation of activities that enable and facilitate knowledge sharing between trainers and trainees, while allowing management to focus on employee development.</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4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4. </w:t>
            </w:r>
            <w:r>
              <w:rPr>
                <w:rStyle w:val="DefaultParagraphFont"/>
                <w:rFonts w:ascii="Times New Roman" w:eastAsia="Times New Roman" w:hAnsi="Times New Roman" w:cs="Times New Roman"/>
                <w:b w:val="0"/>
                <w:bCs w:val="0"/>
                <w:i w:val="0"/>
                <w:iCs w:val="0"/>
                <w:smallCaps w:val="0"/>
                <w:color w:val="000000"/>
                <w:sz w:val="22"/>
                <w:szCs w:val="22"/>
                <w:bdr w:val="nil"/>
                <w:rtl w:val="0"/>
              </w:rPr>
              <w:t>According to the chapter-opening vignette, TELUS restructured its training initiatives by introducing an initiative called “Learning 2.0.” This initiative is anchored on three principles: individual, team, and social learning.</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4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5. </w:t>
            </w:r>
            <w:r>
              <w:rPr>
                <w:rStyle w:val="DefaultParagraphFont"/>
                <w:rFonts w:ascii="Times New Roman" w:eastAsia="Times New Roman" w:hAnsi="Times New Roman" w:cs="Times New Roman"/>
                <w:b w:val="0"/>
                <w:bCs w:val="0"/>
                <w:i w:val="0"/>
                <w:iCs w:val="0"/>
                <w:smallCaps w:val="0"/>
                <w:color w:val="000000"/>
                <w:sz w:val="22"/>
                <w:szCs w:val="22"/>
                <w:bdr w:val="nil"/>
                <w:rtl w:val="0"/>
              </w:rPr>
              <w:t>The Association for Talent and Development has recently introduced a detailed set of competencies addressing the required training styles required of training and development professionals.</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4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6. </w:t>
            </w:r>
            <w:r>
              <w:rPr>
                <w:rStyle w:val="DefaultParagraphFont"/>
                <w:rFonts w:ascii="Times New Roman" w:eastAsia="Times New Roman" w:hAnsi="Times New Roman" w:cs="Times New Roman"/>
                <w:b w:val="0"/>
                <w:bCs w:val="0"/>
                <w:i w:val="0"/>
                <w:iCs w:val="0"/>
                <w:smallCaps w:val="0"/>
                <w:color w:val="000000"/>
                <w:sz w:val="22"/>
                <w:szCs w:val="22"/>
                <w:bdr w:val="nil"/>
                <w:rtl w:val="0"/>
              </w:rPr>
              <w:t>The Canadian Society for Training and Development has a member code of ethics. The salient themes include confidentiality, professional conduct, and compliance with all laws.</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415"/>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7. </w:t>
            </w:r>
            <w:r>
              <w:rPr>
                <w:rStyle w:val="DefaultParagraphFont"/>
                <w:rFonts w:ascii="Times New Roman" w:eastAsia="Times New Roman" w:hAnsi="Times New Roman" w:cs="Times New Roman"/>
                <w:b w:val="0"/>
                <w:bCs w:val="0"/>
                <w:i w:val="0"/>
                <w:iCs w:val="0"/>
                <w:smallCaps w:val="0"/>
                <w:color w:val="000000"/>
                <w:sz w:val="22"/>
                <w:szCs w:val="22"/>
                <w:bdr w:val="nil"/>
                <w:rtl w:val="0"/>
              </w:rPr>
              <w:t>One ethical issue of particular concern is excluding some employees from attending training programs, which may result in workplace discrimination and human rights complaints.</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415"/>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8. </w:t>
            </w:r>
            <w:r>
              <w:rPr>
                <w:rStyle w:val="DefaultParagraphFont"/>
                <w:rFonts w:ascii="Times New Roman" w:eastAsia="Times New Roman" w:hAnsi="Times New Roman" w:cs="Times New Roman"/>
                <w:b w:val="0"/>
                <w:bCs w:val="0"/>
                <w:i w:val="0"/>
                <w:iCs w:val="0"/>
                <w:smallCaps w:val="0"/>
                <w:color w:val="000000"/>
                <w:sz w:val="22"/>
                <w:szCs w:val="22"/>
                <w:bdr w:val="nil"/>
                <w:rtl w:val="0"/>
              </w:rPr>
              <w:t>Variables such as demographics, industry-centric learning, changes in the nature of work, and social media are the driving forces behind the concept of Learning 2.0.</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4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9. </w:t>
            </w:r>
            <w:r>
              <w:rPr>
                <w:rStyle w:val="DefaultParagraphFont"/>
                <w:rFonts w:ascii="Times New Roman" w:eastAsia="Times New Roman" w:hAnsi="Times New Roman" w:cs="Times New Roman"/>
                <w:b w:val="0"/>
                <w:bCs w:val="0"/>
                <w:i w:val="0"/>
                <w:iCs w:val="0"/>
                <w:smallCaps w:val="0"/>
                <w:color w:val="000000"/>
                <w:sz w:val="22"/>
                <w:szCs w:val="22"/>
                <w:bdr w:val="nil"/>
                <w:rtl w:val="0"/>
              </w:rPr>
              <w:t>Learning 2.0 may be categorized as a shift away from formal learning to social learning and from an individual focus to a group focus.</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415"/>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10. </w:t>
            </w:r>
            <w:r>
              <w:rPr>
                <w:rStyle w:val="DefaultParagraphFont"/>
                <w:rFonts w:ascii="Times New Roman" w:eastAsia="Times New Roman" w:hAnsi="Times New Roman" w:cs="Times New Roman"/>
                <w:b w:val="0"/>
                <w:bCs w:val="0"/>
                <w:i w:val="0"/>
                <w:iCs w:val="0"/>
                <w:smallCaps w:val="0"/>
                <w:color w:val="000000"/>
                <w:sz w:val="22"/>
                <w:szCs w:val="22"/>
                <w:bdr w:val="nil"/>
                <w:rtl w:val="0"/>
              </w:rPr>
              <w:t>The Canadian Society for Training and Development identified a series of competencies for training professionals organized in five major categories. Under this scheme, “engaging learners” would be included under the “facilitating training” category.</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415"/>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11. </w:t>
            </w:r>
            <w:r>
              <w:rPr>
                <w:rStyle w:val="DefaultParagraphFont"/>
                <w:rFonts w:ascii="Times New Roman" w:eastAsia="Times New Roman" w:hAnsi="Times New Roman" w:cs="Times New Roman"/>
                <w:b w:val="0"/>
                <w:bCs w:val="0"/>
                <w:i w:val="0"/>
                <w:iCs w:val="0"/>
                <w:smallCaps w:val="0"/>
                <w:color w:val="000000"/>
                <w:sz w:val="22"/>
                <w:szCs w:val="22"/>
                <w:bdr w:val="nil"/>
                <w:rtl w:val="0"/>
              </w:rPr>
              <w:t>The Canadian Society for Training and Development (CSTD) has developed a set of competencies for training and development professionals. These competencies are organized into five categories.</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415"/>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12. </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The </w:t>
            </w:r>
            <w:r>
              <w:rPr>
                <w:rStyle w:val="DefaultParagraphFont"/>
                <w:rFonts w:ascii="Times New Roman" w:eastAsia="Times New Roman" w:hAnsi="Times New Roman" w:cs="Times New Roman"/>
                <w:b w:val="0"/>
                <w:bCs w:val="0"/>
                <w:i/>
                <w:iCs/>
                <w:smallCaps w:val="0"/>
                <w:color w:val="000000"/>
                <w:sz w:val="22"/>
                <w:szCs w:val="22"/>
                <w:bdr w:val="nil"/>
                <w:rtl w:val="0"/>
              </w:rPr>
              <w:t>Canadian Human Rights Act</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and provincial human rights codes govern human rights issues such as an employee being denied training.</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415"/>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13. </w:t>
            </w:r>
            <w:r>
              <w:rPr>
                <w:rStyle w:val="DefaultParagraphFont"/>
                <w:rFonts w:ascii="Times New Roman" w:eastAsia="Times New Roman" w:hAnsi="Times New Roman" w:cs="Times New Roman"/>
                <w:b w:val="0"/>
                <w:bCs w:val="0"/>
                <w:i w:val="0"/>
                <w:iCs w:val="0"/>
                <w:smallCaps w:val="0"/>
                <w:color w:val="000000"/>
                <w:sz w:val="22"/>
                <w:szCs w:val="22"/>
                <w:bdr w:val="nil"/>
                <w:rtl w:val="0"/>
              </w:rPr>
              <w:t>TELUS’s philosophical change in training approach resulted in a complete review of training methodologies and an increase in the number of external service providers. The rationale for increasing the number of providers was centred on the need to have a much more focused approach to training content.</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4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14. </w:t>
            </w:r>
            <w:r>
              <w:rPr>
                <w:rStyle w:val="DefaultParagraphFont"/>
                <w:rFonts w:ascii="Times New Roman" w:eastAsia="Times New Roman" w:hAnsi="Times New Roman" w:cs="Times New Roman"/>
                <w:b w:val="0"/>
                <w:bCs w:val="0"/>
                <w:i w:val="0"/>
                <w:iCs w:val="0"/>
                <w:smallCaps w:val="0"/>
                <w:color w:val="000000"/>
                <w:sz w:val="22"/>
                <w:szCs w:val="22"/>
                <w:bdr w:val="nil"/>
                <w:rtl w:val="0"/>
              </w:rPr>
              <w:t>Evidence provided in the textbook indicates a shift in training philosophy away from instructor-led to a philosophy that embraces other methods including blended and collaborative learning approaches.</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415"/>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15. </w:t>
            </w:r>
            <w:r>
              <w:rPr>
                <w:rStyle w:val="DefaultParagraphFont"/>
                <w:rFonts w:ascii="Times New Roman" w:eastAsia="Times New Roman" w:hAnsi="Times New Roman" w:cs="Times New Roman"/>
                <w:b w:val="0"/>
                <w:bCs w:val="0"/>
                <w:i w:val="0"/>
                <w:iCs w:val="0"/>
                <w:smallCaps w:val="0"/>
                <w:color w:val="000000"/>
                <w:sz w:val="22"/>
                <w:szCs w:val="22"/>
                <w:bdr w:val="nil"/>
                <w:rtl w:val="0"/>
              </w:rPr>
              <w:t>Lifelong learning is an approach to one’s life philosophy that recognizes learning takes place throughout a person’s life and involves the usage of highly structured learning processes as the main approach to learning.</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4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16. </w:t>
            </w:r>
            <w:r>
              <w:rPr>
                <w:rStyle w:val="DefaultParagraphFont"/>
                <w:rFonts w:ascii="Times New Roman" w:eastAsia="Times New Roman" w:hAnsi="Times New Roman" w:cs="Times New Roman"/>
                <w:b w:val="0"/>
                <w:bCs w:val="0"/>
                <w:i w:val="0"/>
                <w:iCs w:val="0"/>
                <w:smallCaps w:val="0"/>
                <w:color w:val="000000"/>
                <w:sz w:val="22"/>
                <w:szCs w:val="22"/>
                <w:bdr w:val="nil"/>
                <w:rtl w:val="0"/>
              </w:rPr>
              <w:t>The Canadian Council on Learning developed a Composite Learning Index (CLI) which includes four “pillars.” Pillar number one of this scheme, “learning to do,” includes elements of computer literacy.</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4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17. </w:t>
            </w:r>
            <w:r>
              <w:rPr>
                <w:rStyle w:val="DefaultParagraphFont"/>
                <w:rFonts w:ascii="Times New Roman" w:eastAsia="Times New Roman" w:hAnsi="Times New Roman" w:cs="Times New Roman"/>
                <w:b w:val="0"/>
                <w:bCs w:val="0"/>
                <w:i w:val="0"/>
                <w:iCs w:val="0"/>
                <w:smallCaps w:val="0"/>
                <w:color w:val="000000"/>
                <w:sz w:val="22"/>
                <w:szCs w:val="22"/>
                <w:bdr w:val="nil"/>
                <w:rtl w:val="0"/>
              </w:rPr>
              <w:t>The Composite Learning Index draws a positive relationship between individual lifelong learning and the economic strength of Canada.</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415"/>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18. </w:t>
            </w:r>
            <w:r>
              <w:rPr>
                <w:rStyle w:val="DefaultParagraphFont"/>
                <w:rFonts w:ascii="Times New Roman" w:eastAsia="Times New Roman" w:hAnsi="Times New Roman" w:cs="Times New Roman"/>
                <w:b w:val="0"/>
                <w:bCs w:val="0"/>
                <w:i w:val="0"/>
                <w:iCs w:val="0"/>
                <w:smallCaps w:val="0"/>
                <w:color w:val="000000"/>
                <w:sz w:val="22"/>
                <w:szCs w:val="22"/>
                <w:bdr w:val="nil"/>
                <w:rtl w:val="0"/>
              </w:rPr>
              <w:t>Evidence appears to support the notion that Canada is moving in the right direction on many different facets of lifelong learning.</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4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19. </w:t>
            </w:r>
            <w:r>
              <w:rPr>
                <w:rStyle w:val="DefaultParagraphFont"/>
                <w:rFonts w:ascii="Times New Roman" w:eastAsia="Times New Roman" w:hAnsi="Times New Roman" w:cs="Times New Roman"/>
                <w:b w:val="0"/>
                <w:bCs w:val="0"/>
                <w:i w:val="0"/>
                <w:iCs w:val="0"/>
                <w:smallCaps w:val="0"/>
                <w:color w:val="000000"/>
                <w:sz w:val="22"/>
                <w:szCs w:val="22"/>
                <w:bdr w:val="nil"/>
                <w:rtl w:val="0"/>
              </w:rPr>
              <w:t>The Canadian Council on Learning (CCL) concluded that current improvements in worker productivity in Canada are directly related to Canadian organizations making significant investments in lifelong learning initiatives.</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4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20. </w:t>
            </w:r>
            <w:r>
              <w:rPr>
                <w:rStyle w:val="DefaultParagraphFont"/>
                <w:rFonts w:ascii="Times New Roman" w:eastAsia="Times New Roman" w:hAnsi="Times New Roman" w:cs="Times New Roman"/>
                <w:b w:val="0"/>
                <w:bCs w:val="0"/>
                <w:i w:val="0"/>
                <w:iCs w:val="0"/>
                <w:smallCaps w:val="0"/>
                <w:color w:val="000000"/>
                <w:sz w:val="22"/>
                <w:szCs w:val="22"/>
                <w:bdr w:val="nil"/>
                <w:rtl w:val="0"/>
              </w:rPr>
              <w:t>Training and development play a critical role in helping organizations meet the challenges of an increasingly dynamic and competitive global environment.</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415"/>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21. </w:t>
            </w:r>
            <w:r>
              <w:rPr>
                <w:rStyle w:val="DefaultParagraphFont"/>
                <w:rFonts w:ascii="Times New Roman" w:eastAsia="Times New Roman" w:hAnsi="Times New Roman" w:cs="Times New Roman"/>
                <w:b w:val="0"/>
                <w:bCs w:val="0"/>
                <w:i w:val="0"/>
                <w:iCs w:val="0"/>
                <w:smallCaps w:val="0"/>
                <w:color w:val="000000"/>
                <w:sz w:val="22"/>
                <w:szCs w:val="22"/>
                <w:bdr w:val="nil"/>
                <w:rtl w:val="0"/>
              </w:rPr>
              <w:t>What was the catalyst behind TELUS changing its corporate learning philosophy?</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7633"/>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realization of the significant role technology plays in learning</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the result of a strategic corporate-level review of their processes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realization that internal programs were simply too expensive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realization that learning is not an event but rather an ongoing multifaceted process</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11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22. </w:t>
            </w:r>
            <w:r>
              <w:rPr>
                <w:rStyle w:val="DefaultParagraphFont"/>
                <w:rFonts w:ascii="Times New Roman" w:eastAsia="Times New Roman" w:hAnsi="Times New Roman" w:cs="Times New Roman"/>
                <w:b w:val="0"/>
                <w:bCs w:val="0"/>
                <w:i w:val="0"/>
                <w:iCs w:val="0"/>
                <w:smallCaps w:val="0"/>
                <w:color w:val="000000"/>
                <w:sz w:val="22"/>
                <w:szCs w:val="22"/>
                <w:bdr w:val="nil"/>
                <w:rtl w:val="0"/>
              </w:rPr>
              <w:t>What type of challenge did TELUS’s original process for sourcing external training service providers create for the company?</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165"/>
              <w:gridCol w:w="8075"/>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lack of consistency by vendors in interpreting TELUS’s training requirements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negative ROI associated with many of their training initiatives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lack of an integrated corporate-wide strategic training process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few vendors controlling the majority of training programs, leading to complacency and a general lack of creativity in training delivery</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98"/>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23. </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Which of the following HR functions would you </w:t>
            </w:r>
            <w:r>
              <w:rPr>
                <w:rStyle w:val="DefaultParagraphFont"/>
                <w:rFonts w:ascii="Times New Roman" w:eastAsia="Times New Roman" w:hAnsi="Times New Roman" w:cs="Times New Roman"/>
                <w:b/>
                <w:bCs/>
                <w:i w:val="0"/>
                <w:iCs w:val="0"/>
                <w:smallCaps w:val="0"/>
                <w:color w:val="000000"/>
                <w:sz w:val="22"/>
                <w:szCs w:val="22"/>
                <w:bdr w:val="nil"/>
                <w:rtl w:val="0"/>
              </w:rPr>
              <w:t>NOT</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classify as strategic in nature?</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5331"/>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managing and leading organizational change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designing and delivering training initiatives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managing organizational knowledge-sharing initiatives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designing organizational succession-planning initiatives</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11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24. </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The modern training and development professional may need to “wear many hats.” Which of the following is potentially </w:t>
            </w:r>
            <w:r>
              <w:rPr>
                <w:rStyle w:val="DefaultParagraphFont"/>
                <w:rFonts w:ascii="Times New Roman" w:eastAsia="Times New Roman" w:hAnsi="Times New Roman" w:cs="Times New Roman"/>
                <w:b/>
                <w:bCs/>
                <w:i w:val="0"/>
                <w:iCs w:val="0"/>
                <w:smallCaps w:val="0"/>
                <w:color w:val="000000"/>
                <w:sz w:val="22"/>
                <w:szCs w:val="22"/>
                <w:bdr w:val="nil"/>
                <w:rtl w:val="0"/>
              </w:rPr>
              <w:t>NOT</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an additional role played by training professionals?</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3601"/>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knowledge custodian</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change management</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managing organizational knowledge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talent management</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98"/>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25. </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The Association for Talent Development has created a competency model anchored by six foundational competencies. Which of the following is </w:t>
            </w:r>
            <w:r>
              <w:rPr>
                <w:rStyle w:val="DefaultParagraphFont"/>
                <w:rFonts w:ascii="Times New Roman" w:eastAsia="Times New Roman" w:hAnsi="Times New Roman" w:cs="Times New Roman"/>
                <w:b/>
                <w:bCs/>
                <w:i w:val="0"/>
                <w:iCs w:val="0"/>
                <w:smallCaps w:val="0"/>
                <w:color w:val="000000"/>
                <w:sz w:val="22"/>
                <w:szCs w:val="22"/>
                <w:bdr w:val="nil"/>
                <w:rtl w:val="0"/>
              </w:rPr>
              <w:t>NOT</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included as a foundational competency?</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1897"/>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business skills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personal skills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training skills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technology skills</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98"/>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26. </w:t>
            </w:r>
            <w:r>
              <w:rPr>
                <w:rStyle w:val="DefaultParagraphFont"/>
                <w:rFonts w:ascii="Times New Roman" w:eastAsia="Times New Roman" w:hAnsi="Times New Roman" w:cs="Times New Roman"/>
                <w:b w:val="0"/>
                <w:bCs w:val="0"/>
                <w:i w:val="0"/>
                <w:iCs w:val="0"/>
                <w:smallCaps w:val="0"/>
                <w:color w:val="000000"/>
                <w:sz w:val="22"/>
                <w:szCs w:val="22"/>
                <w:bdr w:val="nil"/>
                <w:rtl w:val="0"/>
              </w:rPr>
              <w:t>The Association for Talent and Development (ATD) includes ten training and development areas of specific expertise in its competencies framework. Under which of the following would calculating the return on investment of a training program be included?</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2929"/>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coaching</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managing learning programs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instructional design</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evaluating learning impact</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11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27. </w:t>
            </w:r>
            <w:r>
              <w:rPr>
                <w:rStyle w:val="DefaultParagraphFont"/>
                <w:rFonts w:ascii="Times New Roman" w:eastAsia="Times New Roman" w:hAnsi="Times New Roman" w:cs="Times New Roman"/>
                <w:b w:val="0"/>
                <w:bCs w:val="0"/>
                <w:i w:val="0"/>
                <w:iCs w:val="0"/>
                <w:smallCaps w:val="0"/>
                <w:color w:val="000000"/>
                <w:sz w:val="22"/>
                <w:szCs w:val="22"/>
                <w:bdr w:val="nil"/>
                <w:rtl w:val="0"/>
              </w:rPr>
              <w:t>Which foundational competency in the ATD competency model framework would include the ability to analyze needs and propose solutions?</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2141"/>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industry knowledge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interpersonal skills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business skills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personal skills</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98"/>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28. </w:t>
            </w:r>
            <w:r>
              <w:rPr>
                <w:rStyle w:val="DefaultParagraphFont"/>
                <w:rFonts w:ascii="Times New Roman" w:eastAsia="Times New Roman" w:hAnsi="Times New Roman" w:cs="Times New Roman"/>
                <w:b w:val="0"/>
                <w:bCs w:val="0"/>
                <w:i w:val="0"/>
                <w:iCs w:val="0"/>
                <w:smallCaps w:val="0"/>
                <w:color w:val="000000"/>
                <w:sz w:val="22"/>
                <w:szCs w:val="22"/>
                <w:bdr w:val="nil"/>
                <w:rtl w:val="0"/>
              </w:rPr>
              <w:t>A particular company is experiencing significant enterprise-level transformation. Simply put, the marketplace is evolving and the enterprise needs to adapt. Which area of expertise in the ATD competency model would include dealing with this challenge?</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254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instructional design</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change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knowledge management</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coaching</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11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29. </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Which of the following areas of skill is </w:t>
            </w:r>
            <w:r>
              <w:rPr>
                <w:rStyle w:val="DefaultParagraphFont"/>
                <w:rFonts w:ascii="Times New Roman" w:eastAsia="Times New Roman" w:hAnsi="Times New Roman" w:cs="Times New Roman"/>
                <w:b/>
                <w:bCs/>
                <w:i w:val="0"/>
                <w:iCs w:val="0"/>
                <w:smallCaps w:val="0"/>
                <w:color w:val="000000"/>
                <w:sz w:val="22"/>
                <w:szCs w:val="22"/>
                <w:bdr w:val="nil"/>
                <w:rtl w:val="0"/>
              </w:rPr>
              <w:t>NOT</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found in the “expertise” level of the ATD competency model?</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3601"/>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facilitating organizational change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managing organizational knowledge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improving human performance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applying business acumen</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11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30. </w:t>
            </w:r>
            <w:r>
              <w:rPr>
                <w:rStyle w:val="DefaultParagraphFont"/>
                <w:rFonts w:ascii="Times New Roman" w:eastAsia="Times New Roman" w:hAnsi="Times New Roman" w:cs="Times New Roman"/>
                <w:b w:val="0"/>
                <w:bCs w:val="0"/>
                <w:i w:val="0"/>
                <w:iCs w:val="0"/>
                <w:smallCaps w:val="0"/>
                <w:color w:val="000000"/>
                <w:sz w:val="22"/>
                <w:szCs w:val="22"/>
                <w:bdr w:val="nil"/>
                <w:rtl w:val="0"/>
              </w:rPr>
              <w:t>The Canadian Society for Training and Development (CSTD) has developed a set of competencies for training and development professionals organized around five key sections. Which of these key sections addresses the issue of identifying root causes of performance shortfalls?</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2941"/>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assessing performance needs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facilitating training</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task analysis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training evaluation</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98"/>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31. </w:t>
            </w:r>
            <w:r>
              <w:rPr>
                <w:rStyle w:val="DefaultParagraphFont"/>
                <w:rFonts w:ascii="Times New Roman" w:eastAsia="Times New Roman" w:hAnsi="Times New Roman" w:cs="Times New Roman"/>
                <w:b w:val="0"/>
                <w:bCs w:val="0"/>
                <w:i w:val="0"/>
                <w:iCs w:val="0"/>
                <w:smallCaps w:val="0"/>
                <w:color w:val="000000"/>
                <w:sz w:val="22"/>
                <w:szCs w:val="22"/>
                <w:bdr w:val="nil"/>
                <w:rtl w:val="0"/>
              </w:rPr>
              <w:t>Which of the following is included in the Canadian Society for Training and Development (CSTD) competency framework introduced in the textbook?</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4682"/>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identify and document performance gaps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foster an inclusive learning environment</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develop a corporate-level human capital strategy</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evaluate training outcomes at four levels</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98"/>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32. </w:t>
            </w:r>
            <w:r>
              <w:rPr>
                <w:rStyle w:val="DefaultParagraphFont"/>
                <w:rFonts w:ascii="Times New Roman" w:eastAsia="Times New Roman" w:hAnsi="Times New Roman" w:cs="Times New Roman"/>
                <w:b w:val="0"/>
                <w:bCs w:val="0"/>
                <w:i w:val="0"/>
                <w:iCs w:val="0"/>
                <w:smallCaps w:val="0"/>
                <w:color w:val="000000"/>
                <w:sz w:val="22"/>
                <w:szCs w:val="22"/>
                <w:bdr w:val="nil"/>
                <w:rtl w:val="0"/>
              </w:rPr>
              <w:t>Which of the following best describes the strategic role of a training and development professional?</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728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ensures training is provided at the lowest cost possible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ensures training is available to everyone in an organization</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ensures training is assessed using Kraiger’s Decision-Based Evaluation model</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ensures business results are attained</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11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33. </w:t>
            </w:r>
            <w:r>
              <w:rPr>
                <w:rStyle w:val="DefaultParagraphFont"/>
                <w:rFonts w:ascii="Times New Roman" w:eastAsia="Times New Roman" w:hAnsi="Times New Roman" w:cs="Times New Roman"/>
                <w:b w:val="0"/>
                <w:bCs w:val="0"/>
                <w:i w:val="0"/>
                <w:iCs w:val="0"/>
                <w:smallCaps w:val="0"/>
                <w:color w:val="000000"/>
                <w:sz w:val="22"/>
                <w:szCs w:val="22"/>
                <w:bdr w:val="nil"/>
                <w:rtl w:val="0"/>
              </w:rPr>
              <w:t>Ethics involves systematically thinking about the moral consequences of one’s actions and how those actions impact stakeholders. Which of the following groups comprises the stakeholders?</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4108"/>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directors and corporate managers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shareholders, employees, and managers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internal and external customers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people inside and outside the organization</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11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34. </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Which of the following is </w:t>
            </w:r>
            <w:r>
              <w:rPr>
                <w:rStyle w:val="DefaultParagraphFont"/>
                <w:rFonts w:ascii="Times New Roman" w:eastAsia="Times New Roman" w:hAnsi="Times New Roman" w:cs="Times New Roman"/>
                <w:b/>
                <w:bCs/>
                <w:i w:val="0"/>
                <w:iCs w:val="0"/>
                <w:smallCaps w:val="0"/>
                <w:color w:val="000000"/>
                <w:sz w:val="22"/>
                <w:szCs w:val="22"/>
                <w:bdr w:val="nil"/>
                <w:rtl w:val="0"/>
              </w:rPr>
              <w:t>NOT</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included in the member code of ethics established by the Canadian Society for Training and Development?</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4011"/>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respect individual rights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support the growth of the CSTD</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trainers should use only original material</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ensure client confidentiality</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98"/>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35. </w:t>
            </w:r>
            <w:r>
              <w:rPr>
                <w:rStyle w:val="DefaultParagraphFont"/>
                <w:rFonts w:ascii="Times New Roman" w:eastAsia="Times New Roman" w:hAnsi="Times New Roman" w:cs="Times New Roman"/>
                <w:b w:val="0"/>
                <w:bCs w:val="0"/>
                <w:i w:val="0"/>
                <w:iCs w:val="0"/>
                <w:smallCaps w:val="0"/>
                <w:color w:val="000000"/>
                <w:sz w:val="22"/>
                <w:szCs w:val="22"/>
                <w:bdr w:val="nil"/>
                <w:rtl w:val="0"/>
              </w:rPr>
              <w:t>A trainer claims a training program will provide an organization with an ROI of 500 percent in order to secure a training contract. In fact, the training program provides, in a best-case scenario, an ROI of only 5 percent. This fact is known to the trainer prior to training. According to Lowman, which ethical guideline has this trainer violated?</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1976"/>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voluntary consent</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values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competency</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cost-effectiveness</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11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36. </w:t>
            </w:r>
            <w:r>
              <w:rPr>
                <w:rStyle w:val="DefaultParagraphFont"/>
                <w:rFonts w:ascii="Times New Roman" w:eastAsia="Times New Roman" w:hAnsi="Times New Roman" w:cs="Times New Roman"/>
                <w:b w:val="0"/>
                <w:bCs w:val="0"/>
                <w:i w:val="0"/>
                <w:iCs w:val="0"/>
                <w:smallCaps w:val="0"/>
                <w:color w:val="000000"/>
                <w:sz w:val="22"/>
                <w:szCs w:val="22"/>
                <w:bdr w:val="nil"/>
                <w:rtl w:val="0"/>
              </w:rPr>
              <w:t>Which of the following best captures the spirit of Learning 2.0?</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6326"/>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training and development services are provided by external sources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exclusive usage of e-learning approaches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philosophy focused on disciplined learning program evaluation</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trainee-initiated and collaborative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11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37. </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Which of the following variables did </w:t>
            </w:r>
            <w:r>
              <w:rPr>
                <w:rStyle w:val="DefaultParagraphFont"/>
                <w:rFonts w:ascii="Times New Roman" w:eastAsia="Times New Roman" w:hAnsi="Times New Roman" w:cs="Times New Roman"/>
                <w:b/>
                <w:bCs/>
                <w:i w:val="0"/>
                <w:iCs w:val="0"/>
                <w:smallCaps w:val="0"/>
                <w:color w:val="000000"/>
                <w:sz w:val="22"/>
                <w:szCs w:val="22"/>
                <w:bdr w:val="nil"/>
                <w:rtl w:val="0"/>
              </w:rPr>
              <w:t>NOT</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provide the catalyst for the introduction of Learning 2.0?</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2397"/>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the nature of work</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static environment</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the need to collaborate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demographics</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11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38. </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According to the Canadian Council on Learning, which of the following is </w:t>
            </w:r>
            <w:r>
              <w:rPr>
                <w:rStyle w:val="DefaultParagraphFont"/>
                <w:rFonts w:ascii="Times New Roman" w:eastAsia="Times New Roman" w:hAnsi="Times New Roman" w:cs="Times New Roman"/>
                <w:b/>
                <w:bCs/>
                <w:i w:val="0"/>
                <w:iCs w:val="0"/>
                <w:smallCaps w:val="0"/>
                <w:color w:val="000000"/>
                <w:sz w:val="22"/>
                <w:szCs w:val="22"/>
                <w:bdr w:val="nil"/>
                <w:rtl w:val="0"/>
              </w:rPr>
              <w:t>NOT</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a pillar of lifelong learning?</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1891"/>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learning to know</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learning to err</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learning to do</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learning to be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11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39. </w:t>
            </w:r>
            <w:r>
              <w:rPr>
                <w:rStyle w:val="DefaultParagraphFont"/>
                <w:rFonts w:ascii="Times New Roman" w:eastAsia="Times New Roman" w:hAnsi="Times New Roman" w:cs="Times New Roman"/>
                <w:b w:val="0"/>
                <w:bCs w:val="0"/>
                <w:i w:val="0"/>
                <w:iCs w:val="0"/>
                <w:smallCaps w:val="0"/>
                <w:color w:val="000000"/>
                <w:sz w:val="22"/>
                <w:szCs w:val="22"/>
                <w:bdr w:val="nil"/>
                <w:rtl w:val="0"/>
              </w:rPr>
              <w:t>Which of the four pillars of lifelong learning would include employees developing critical thinking skills?</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274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learning to know</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learning to do</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learning to live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learning to solve problems</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98"/>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40. </w:t>
            </w:r>
            <w:r>
              <w:rPr>
                <w:rStyle w:val="DefaultParagraphFont"/>
                <w:rFonts w:ascii="Times New Roman" w:eastAsia="Times New Roman" w:hAnsi="Times New Roman" w:cs="Times New Roman"/>
                <w:b w:val="0"/>
                <w:bCs w:val="0"/>
                <w:i w:val="0"/>
                <w:iCs w:val="0"/>
                <w:smallCaps w:val="0"/>
                <w:color w:val="000000"/>
                <w:sz w:val="22"/>
                <w:szCs w:val="22"/>
                <w:bdr w:val="nil"/>
                <w:rtl w:val="0"/>
              </w:rPr>
              <w:t>What conclusion do the authors of the textbook make about the state of productivity and adult literacy levels in Canada?</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13"/>
              <w:gridCol w:w="8027"/>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both productivity and literacy levels in Canada remain low</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productivity gains have been significant, while literacy levels remain static</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both are improving at a much higher rate when compared to other industrialized countries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productivity and literacy have become Canada’s competitive advantage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98"/>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41. </w:t>
            </w:r>
            <w:r>
              <w:rPr>
                <w:rStyle w:val="DefaultParagraphFont"/>
                <w:rFonts w:ascii="Times New Roman" w:eastAsia="Times New Roman" w:hAnsi="Times New Roman" w:cs="Times New Roman"/>
                <w:b w:val="0"/>
                <w:bCs w:val="0"/>
                <w:i w:val="0"/>
                <w:iCs w:val="0"/>
                <w:smallCaps w:val="0"/>
                <w:color w:val="000000"/>
                <w:sz w:val="22"/>
                <w:szCs w:val="22"/>
                <w:bdr w:val="nil"/>
                <w:rtl w:val="0"/>
              </w:rPr>
              <w:t>Define and discuss the ethics of training and development.</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916"/>
              <w:gridCol w:w="772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Ethics is the systematic thinking about the moral consequences of one’s actions and decisions on various stakeholders. For training professionals, ethics involves following a set of standards and principles in the design, delivery, and evaluation of training and development programs. An organization called Academy of Human Resource Development has developed the Standards of Ethics and Integrity. Ethical guidelines include voluntary consent, avoidance of discrimination, cost effectiveness, accurate portrayal, competency, and values. One area of concern is the refusal of employees to attend training programs, with ethical and legal dimensions.</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42. </w:t>
            </w:r>
            <w:r>
              <w:rPr>
                <w:rStyle w:val="DefaultParagraphFont"/>
                <w:rFonts w:ascii="Times New Roman" w:eastAsia="Times New Roman" w:hAnsi="Times New Roman" w:cs="Times New Roman"/>
                <w:b w:val="0"/>
                <w:bCs w:val="0"/>
                <w:i w:val="0"/>
                <w:iCs w:val="0"/>
                <w:smallCaps w:val="0"/>
                <w:color w:val="000000"/>
                <w:sz w:val="22"/>
                <w:szCs w:val="22"/>
                <w:bdr w:val="nil"/>
                <w:rtl w:val="0"/>
              </w:rPr>
              <w:t>Describe how an aging workforce impacts the training and development function.</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916"/>
              <w:gridCol w:w="772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An aging population and fewer younger people entering the workforce will mean skills shortages in some areas as well as older workers. This means that trainers need to consider the aging process when planning training. Cognitive processing slows down and sensory abilities decline in older people, so the pace of training may need to be slower for older trainees.</w:t>
                  </w:r>
                  <w:r>
                    <w:rPr>
                      <w:rStyle w:val="DefaultParagraphFont"/>
                      <w:rFonts w:ascii="Times New Roman" w:eastAsia="Times New Roman" w:hAnsi="Times New Roman" w:cs="Times New Roman"/>
                      <w:b w:val="0"/>
                      <w:bCs w:val="0"/>
                      <w:i w:val="0"/>
                      <w:iCs w:val="0"/>
                      <w:smallCaps w:val="0"/>
                      <w:color w:val="000000"/>
                      <w:sz w:val="22"/>
                      <w:szCs w:val="22"/>
                      <w:bdr w:val="nil"/>
                      <w:rtl w:val="0"/>
                    </w:rPr>
                    <w:br/>
                  </w:r>
                  <w:r>
                    <w:rPr>
                      <w:rStyle w:val="DefaultParagraphFont"/>
                      <w:rFonts w:ascii="Times New Roman" w:eastAsia="Times New Roman" w:hAnsi="Times New Roman" w:cs="Times New Roman"/>
                      <w:b w:val="0"/>
                      <w:bCs w:val="0"/>
                      <w:i w:val="0"/>
                      <w:iCs w:val="0"/>
                      <w:smallCaps w:val="0"/>
                      <w:color w:val="000000"/>
                      <w:sz w:val="22"/>
                      <w:szCs w:val="22"/>
                      <w:bdr w:val="nil"/>
                      <w:rtl w:val="0"/>
                    </w:rPr>
                    <w:br/>
                  </w:r>
                  <w:r>
                    <w:rPr>
                      <w:rStyle w:val="DefaultParagraphFont"/>
                      <w:rFonts w:ascii="Times New Roman" w:eastAsia="Times New Roman" w:hAnsi="Times New Roman" w:cs="Times New Roman"/>
                      <w:b w:val="0"/>
                      <w:bCs w:val="0"/>
                      <w:i w:val="0"/>
                      <w:iCs w:val="0"/>
                      <w:smallCaps w:val="0"/>
                      <w:color w:val="000000"/>
                      <w:sz w:val="22"/>
                      <w:szCs w:val="22"/>
                      <w:bdr w:val="nil"/>
                      <w:rtl w:val="0"/>
                    </w:rPr>
                    <w:t>Providing older workers with extra time for learning, self-pacing, and various job aids is likely to improve learning. Training material may have to be designed for decline in hearing and sight. Above all, trainers must recognize that older workers need special handling for training to be more effective.</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43. </w:t>
            </w:r>
            <w:r>
              <w:rPr>
                <w:rStyle w:val="DefaultParagraphFont"/>
                <w:rFonts w:ascii="Times New Roman" w:eastAsia="Times New Roman" w:hAnsi="Times New Roman" w:cs="Times New Roman"/>
                <w:b w:val="0"/>
                <w:bCs w:val="0"/>
                <w:i w:val="0"/>
                <w:iCs w:val="0"/>
                <w:smallCaps w:val="0"/>
                <w:color w:val="000000"/>
                <w:sz w:val="22"/>
                <w:szCs w:val="22"/>
                <w:bdr w:val="nil"/>
                <w:rtl w:val="0"/>
              </w:rPr>
              <w:t>The Canadian Society for Training and Development has developed a set of five key competencies required of all training and development professionals. Identify those five key competencies and provide a brief summary of each.</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916"/>
              <w:gridCol w:w="772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Students should use the framework described in Figure 15.2 to build their answers. The answers should include the five key competencies coupled with the details associated with each competency. As an example, Competency #1 Assessing Performance Needs should include a) prepare to assess, b) identify performance gaps, c) determine cause of gaps, d) identify solutions for closing gaps, e) validate next steps and measures.</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44. </w:t>
            </w:r>
            <w:r>
              <w:rPr>
                <w:rStyle w:val="DefaultParagraphFont"/>
                <w:rFonts w:ascii="Times New Roman" w:eastAsia="Times New Roman" w:hAnsi="Times New Roman" w:cs="Times New Roman"/>
                <w:b w:val="0"/>
                <w:bCs w:val="0"/>
                <w:i w:val="0"/>
                <w:iCs w:val="0"/>
                <w:smallCaps w:val="0"/>
                <w:color w:val="000000"/>
                <w:sz w:val="22"/>
                <w:szCs w:val="22"/>
                <w:bdr w:val="nil"/>
                <w:rtl w:val="0"/>
              </w:rPr>
              <w:t>Define and describe lifelong learning and the impact it will have on how skills development will occur. What impact will lifelong learning have on communities, organizations, and individuals?</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916"/>
              <w:gridCol w:w="772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Learning does not have a beginning or an end. It is an ongoing process. Students need to explore how this may look, including a discussion involving the role of technology as an enabler. The other elements to consider are the impact it will have on individuals (promotions), communities (employment), and organizations (financial well-being, adapting, etc.). How training is delivered, designed, and evaluated should also be discussed. The other element could include the role of traditional schools (universities) as enablers of lifelong learning.</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45. </w:t>
            </w:r>
            <w:r>
              <w:rPr>
                <w:rStyle w:val="DefaultParagraphFont"/>
                <w:rFonts w:ascii="Times New Roman" w:eastAsia="Times New Roman" w:hAnsi="Times New Roman" w:cs="Times New Roman"/>
                <w:b w:val="0"/>
                <w:bCs w:val="0"/>
                <w:i w:val="0"/>
                <w:iCs w:val="0"/>
                <w:smallCaps w:val="0"/>
                <w:color w:val="000000"/>
                <w:sz w:val="22"/>
                <w:szCs w:val="22"/>
                <w:bdr w:val="nil"/>
                <w:rtl w:val="0"/>
              </w:rPr>
              <w:t>You have been tasked by your university to design and deliver a training program that will help new students better adapt to university life. Use Lowman’s ethical guidelines in developing such a training initiative.</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916"/>
              <w:gridCol w:w="772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Students will need to incorporate the six major areas in their program. Wide-ranging answers are very likely. What should be fairly constant are the six key areas addressed by Lowman.</w:t>
                  </w:r>
                </w:p>
              </w:tc>
            </w:tr>
          </w:tbl>
          <w:p/>
        </w:tc>
      </w:tr>
    </w:tbl>
    <w:p>
      <w:pPr>
        <w:bidi w:val="0"/>
        <w:spacing w:after="75"/>
        <w:jc w:val="left"/>
      </w:pPr>
    </w:p>
    <w:p>
      <w:pPr>
        <w:bidi w:val="0"/>
        <w:spacing w:after="75"/>
        <w:jc w:val="left"/>
      </w:pPr>
    </w:p>
    <w:sectPr>
      <w:headerReference w:type="default" r:id="rId4"/>
      <w:footerReference w:type="default" r:id="rId5"/>
      <w:pgMar w:top="720" w:right="720" w:bottom="720" w:left="720" w:header="720" w:footer="720"/>
      <w:cols w:space="720"/>
    </w:sectPr>
  </w:body>
</w:document>
</file>

<file path=word/fontTable.xml><?xml version="1.0" encoding="utf-8"?>
<w:fonts xmlns:r="http://schemas.openxmlformats.org/officeDocument/2006/relationships" xmlns:w="http://schemas.openxmlformats.org/wordprocessingml/2006/main"/>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
    <w:tblGrid>
      <w:gridCol w:w="5465"/>
      <w:gridCol w:w="5315"/>
    </w:tblGrid>
    <w:tr>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00" w:type="pct"/>
          <w:tcBorders>
            <w:top w:val="nil"/>
            <w:left w:val="nil"/>
            <w:bottom w:val="nil"/>
            <w:right w:val="nil"/>
          </w:tcBorders>
        </w:tcPr>
        <w:p>
          <w:pPr>
            <w:bidi w:val="0"/>
          </w:pPr>
          <w:r>
            <w:rPr>
              <w:rStyle w:val="DefaultParagraphFont"/>
              <w:b w:val="0"/>
              <w:bCs w:val="0"/>
              <w:i/>
              <w:iCs/>
              <w:sz w:val="16"/>
              <w:szCs w:val="16"/>
              <w:bdr w:val="nil"/>
              <w:rtl w:val="0"/>
            </w:rPr>
            <w:t>Copyright Cengage Learning. Powered by Cognero.</w:t>
          </w:r>
        </w:p>
      </w:tc>
      <w:tc>
        <w:tcPr>
          <w:tcW w:w="4500" w:type="pct"/>
          <w:tcBorders>
            <w:top w:val="nil"/>
            <w:left w:val="nil"/>
            <w:bottom w:val="nil"/>
            <w:right w:val="nil"/>
          </w:tcBorders>
        </w:tcPr>
        <w:p>
          <w:pPr>
            <w:bidi w:val="0"/>
            <w:jc w:val="right"/>
          </w:pPr>
          <w:r>
            <w:rPr>
              <w:rStyle w:val="DefaultParagraphFont"/>
              <w:b w:val="0"/>
              <w:bCs w:val="0"/>
              <w:sz w:val="16"/>
              <w:szCs w:val="16"/>
              <w:bdr w:val="nil"/>
              <w:rtl w:val="0"/>
            </w:rPr>
            <w:t>Page </w:t>
          </w:r>
          <w:r>
            <w:fldChar w:fldCharType="begin"/>
          </w:r>
          <w:r>
            <w:instrText>PAGE</w:instrText>
          </w:r>
          <w:r>
            <w:fldChar w:fldCharType="separate"/>
          </w:r>
          <w:r>
            <w:fldChar w:fldCharType="end"/>
          </w:r>
        </w:p>
      </w:tc>
    </w:tr>
  </w:tbl>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800" w:type="dxa"/>
      <w:tblBorders>
        <w:top w:val="nil"/>
        <w:left w:val="nil"/>
        <w:bottom w:val="nil"/>
        <w:right w:val="nil"/>
        <w:insideH w:val="nil"/>
        <w:insideV w:val="nil"/>
      </w:tblBorders>
      <w:tblCellMar>
        <w:top w:w="0" w:type="dxa"/>
        <w:left w:w="0" w:type="dxa"/>
        <w:bottom w:w="0" w:type="dxa"/>
        <w:right w:w="0" w:type="dxa"/>
      </w:tblCellMar>
    </w:tblPr>
    <w:tblGrid>
      <w:gridCol w:w="5226"/>
      <w:gridCol w:w="3484"/>
      <w:gridCol w:w="2090"/>
    </w:tblGrid>
    <w:tr>
      <w:tblPrEx>
        <w:tblW w:w="10800" w:type="dxa"/>
        <w:tblBorders>
          <w:top w:val="nil"/>
          <w:left w:val="nil"/>
          <w:bottom w:val="nil"/>
          <w:right w:val="nil"/>
          <w:insideH w:val="nil"/>
          <w:insideV w:val="nil"/>
        </w:tblBorders>
        <w:tblCellMar>
          <w:top w:w="0" w:type="dxa"/>
          <w:left w:w="0" w:type="dxa"/>
          <w:bottom w:w="0" w:type="dxa"/>
          <w:right w:w="0" w:type="dxa"/>
        </w:tblCellMar>
      </w:tblPrEx>
      <w:tc>
        <w:tcPr>
          <w:tcW w:w="2250" w:type="pct"/>
          <w:noWrap w:val="0"/>
          <w:tcMar>
            <w:top w:w="0" w:type="dxa"/>
            <w:left w:w="0" w:type="dxa"/>
            <w:bottom w:w="0" w:type="dxa"/>
            <w:right w:w="0" w:type="dxa"/>
          </w:tcMar>
          <w:vAlign w:val="top"/>
        </w:tcPr>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589"/>
            <w:gridCol w:w="4637"/>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jc w:val="left"/>
            </w:trPr>
            <w:tc>
              <w:tcPr>
                <w:tcW w:w="15" w:type="dxa"/>
                <w:noWrap w:val="0"/>
                <w:tcMar>
                  <w:top w:w="0" w:type="dxa"/>
                  <w:left w:w="0" w:type="dxa"/>
                  <w:bottom w:w="0" w:type="dxa"/>
                  <w:right w:w="0" w:type="dxa"/>
                </w:tcMar>
                <w:vAlign w:val="top"/>
              </w:tcPr>
              <w:p>
                <w:pPr>
                  <w:bidi w:val="0"/>
                  <w:jc w:val="left"/>
                </w:pPr>
                <w:r>
                  <w:rPr>
                    <w:rStyle w:val="DefaultParagraphFont"/>
                    <w:b w:val="0"/>
                    <w:bCs w:val="0"/>
                    <w:i w:val="0"/>
                    <w:iCs w:val="0"/>
                    <w:smallCaps w:val="0"/>
                    <w:sz w:val="20"/>
                    <w:szCs w:val="20"/>
                    <w:bdr w:val="nil"/>
                    <w:rtl w:val="0"/>
                  </w:rPr>
                  <w:t>Name:</w:t>
                </w:r>
              </w:p>
            </w:tc>
            <w:tc>
              <w:tcPr>
                <w:tcBorders>
                  <w:bottom w:val="single" w:sz="6" w:space="0" w:color="000000"/>
                </w:tcBorders>
                <w:noWrap w:val="0"/>
                <w:tcMar>
                  <w:top w:w="0" w:type="dxa"/>
                  <w:left w:w="0" w:type="dxa"/>
                  <w:bottom w:w="0" w:type="dxa"/>
                  <w:right w:w="0" w:type="dxa"/>
                </w:tcMar>
                <w:vAlign w:val="top"/>
              </w:tcPr>
              <w:p>
                <w:pPr>
                  <w:bidi w:val="0"/>
                  <w:jc w:val="left"/>
                </w:pPr>
                <w:r>
                  <w:rPr>
                    <w:rStyle w:val="DefaultParagraphFont"/>
                    <w:b w:val="0"/>
                    <w:bCs w:val="0"/>
                    <w:i w:val="0"/>
                    <w:iCs w:val="0"/>
                    <w:smallCaps w:val="0"/>
                    <w:sz w:val="20"/>
                    <w:szCs w:val="20"/>
                    <w:bdr w:val="nil"/>
                    <w:rtl w:val="0"/>
                  </w:rPr>
                  <w:t> </w:t>
                </w:r>
              </w:p>
            </w:tc>
          </w:tr>
        </w:tbl>
        <w:p/>
      </w:tc>
      <w:tc>
        <w:tcPr>
          <w:tcW w:w="1500" w:type="pct"/>
          <w:noWrap w:val="0"/>
          <w:tcMar>
            <w:top w:w="0" w:type="dxa"/>
            <w:left w:w="0" w:type="dxa"/>
            <w:bottom w:w="0" w:type="dxa"/>
            <w:right w:w="0" w:type="dxa"/>
          </w:tcMar>
          <w:vAlign w:val="top"/>
        </w:tcPr>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556"/>
            <w:gridCol w:w="2928"/>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jc w:val="left"/>
            </w:trPr>
            <w:tc>
              <w:tcPr>
                <w:tcW w:w="15" w:type="dxa"/>
                <w:noWrap w:val="0"/>
                <w:tcMar>
                  <w:top w:w="0" w:type="dxa"/>
                  <w:left w:w="0" w:type="dxa"/>
                  <w:bottom w:w="0" w:type="dxa"/>
                  <w:right w:w="0" w:type="dxa"/>
                </w:tcMar>
                <w:vAlign w:val="top"/>
              </w:tcPr>
              <w:p>
                <w:pPr>
                  <w:bidi w:val="0"/>
                  <w:jc w:val="left"/>
                </w:pPr>
                <w:r>
                  <w:rPr>
                    <w:rStyle w:val="DefaultParagraphFont"/>
                    <w:b w:val="0"/>
                    <w:bCs w:val="0"/>
                    <w:i w:val="0"/>
                    <w:iCs w:val="0"/>
                    <w:smallCaps w:val="0"/>
                    <w:sz w:val="20"/>
                    <w:szCs w:val="20"/>
                    <w:bdr w:val="nil"/>
                    <w:rtl w:val="0"/>
                  </w:rPr>
                  <w:t> Class:</w:t>
                </w:r>
              </w:p>
            </w:tc>
            <w:tc>
              <w:tcPr>
                <w:tcBorders>
                  <w:bottom w:val="single" w:sz="6" w:space="0" w:color="000000"/>
                </w:tcBorders>
                <w:noWrap w:val="0"/>
                <w:tcMar>
                  <w:top w:w="0" w:type="dxa"/>
                  <w:left w:w="0" w:type="dxa"/>
                  <w:bottom w:w="0" w:type="dxa"/>
                  <w:right w:w="0" w:type="dxa"/>
                </w:tcMar>
                <w:vAlign w:val="top"/>
              </w:tcPr>
              <w:p>
                <w:pPr>
                  <w:bidi w:val="0"/>
                  <w:jc w:val="left"/>
                </w:pPr>
                <w:r>
                  <w:rPr>
                    <w:rStyle w:val="DefaultParagraphFont"/>
                    <w:b w:val="0"/>
                    <w:bCs w:val="0"/>
                    <w:i w:val="0"/>
                    <w:iCs w:val="0"/>
                    <w:smallCaps w:val="0"/>
                    <w:sz w:val="20"/>
                    <w:szCs w:val="20"/>
                    <w:bdr w:val="nil"/>
                    <w:rtl w:val="0"/>
                  </w:rPr>
                  <w:t> </w:t>
                </w:r>
              </w:p>
            </w:tc>
          </w:tr>
        </w:tbl>
        <w:p/>
      </w:tc>
      <w:tc>
        <w:tcPr>
          <w:tcW w:w="900" w:type="pct"/>
          <w:noWrap w:val="0"/>
          <w:tcMar>
            <w:top w:w="0" w:type="dxa"/>
            <w:left w:w="0" w:type="dxa"/>
            <w:bottom w:w="0" w:type="dxa"/>
            <w:right w:w="0" w:type="dxa"/>
          </w:tcMar>
          <w:vAlign w:val="top"/>
        </w:tcPr>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478"/>
            <w:gridCol w:w="1612"/>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jc w:val="left"/>
            </w:trPr>
            <w:tc>
              <w:tcPr>
                <w:tcW w:w="15" w:type="dxa"/>
                <w:noWrap w:val="0"/>
                <w:tcMar>
                  <w:top w:w="0" w:type="dxa"/>
                  <w:left w:w="0" w:type="dxa"/>
                  <w:bottom w:w="0" w:type="dxa"/>
                  <w:right w:w="0" w:type="dxa"/>
                </w:tcMar>
                <w:vAlign w:val="top"/>
              </w:tcPr>
              <w:p>
                <w:pPr>
                  <w:bidi w:val="0"/>
                  <w:jc w:val="left"/>
                </w:pPr>
                <w:r>
                  <w:rPr>
                    <w:rStyle w:val="DefaultParagraphFont"/>
                    <w:b w:val="0"/>
                    <w:bCs w:val="0"/>
                    <w:i w:val="0"/>
                    <w:iCs w:val="0"/>
                    <w:smallCaps w:val="0"/>
                    <w:sz w:val="20"/>
                    <w:szCs w:val="20"/>
                    <w:bdr w:val="nil"/>
                    <w:rtl w:val="0"/>
                  </w:rPr>
                  <w:t> Date:</w:t>
                </w:r>
              </w:p>
            </w:tc>
            <w:tc>
              <w:tcPr>
                <w:tcBorders>
                  <w:bottom w:val="single" w:sz="6" w:space="0" w:color="000000"/>
                </w:tcBorders>
                <w:noWrap w:val="0"/>
                <w:tcMar>
                  <w:top w:w="0" w:type="dxa"/>
                  <w:left w:w="0" w:type="dxa"/>
                  <w:bottom w:w="0" w:type="dxa"/>
                  <w:right w:w="0" w:type="dxa"/>
                </w:tcMar>
                <w:vAlign w:val="top"/>
              </w:tcPr>
              <w:p>
                <w:pPr>
                  <w:bidi w:val="0"/>
                  <w:jc w:val="left"/>
                </w:pPr>
                <w:r>
                  <w:rPr>
                    <w:rStyle w:val="DefaultParagraphFont"/>
                    <w:b w:val="0"/>
                    <w:bCs w:val="0"/>
                    <w:i w:val="0"/>
                    <w:iCs w:val="0"/>
                    <w:smallCaps w:val="0"/>
                    <w:sz w:val="20"/>
                    <w:szCs w:val="20"/>
                    <w:bdr w:val="nil"/>
                    <w:rtl w:val="0"/>
                  </w:rPr>
                  <w:t> </w:t>
                </w:r>
              </w:p>
            </w:tc>
          </w:tr>
        </w:tbl>
        <w:p/>
      </w:tc>
    </w:tr>
  </w:tbl>
  <w:p>
    <w:pPr>
      <w:bidi w:val="0"/>
    </w:pPr>
    <w:r>
      <w:br/>
    </w:r>
    <w:r>
      <w:rPr>
        <w:rStyle w:val="DefaultParagraphFont"/>
        <w:rFonts w:ascii="Times New Roman" w:eastAsia="Times New Roman" w:hAnsi="Times New Roman" w:cs="Times New Roman"/>
        <w:b w:val="0"/>
        <w:bCs w:val="0"/>
        <w:color w:val="000000"/>
        <w:sz w:val="26"/>
        <w:szCs w:val="26"/>
        <w:bdr w:val="nil"/>
        <w:rtl w:val="0"/>
      </w:rPr>
      <w:t>Chapter 15 - The Evolution and Future of Training and Development</w:t>
    </w:r>
  </w:p>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displayBackgroundShape/>
  <w:defaultTabStop w:val="720"/>
  <w:noPunctuationKerning/>
  <w:characterSpacingControl w:val="doNotCompress"/>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BCE"/>
    <w:pPr>
      <w:spacing w:before="0" w:beforeAutospacing="0" w:after="0" w:afterAutospacing="0"/>
    </w:pPr>
    <w:rPr>
      <w:rFonts w:ascii="Arial" w:eastAsia="Arial" w:hAnsi="Arial" w:cs="Arial"/>
      <w:sz w:val="16"/>
      <w:szCs w:val="24"/>
      <w:bdr w:val="nil"/>
    </w:rPr>
  </w:style>
  <w:style w:type="paragraph" w:styleId="Heading1">
    <w:name w:val="heading 1"/>
    <w:basedOn w:val="Normal"/>
    <w:next w:val="Normal"/>
    <w:qFormat/>
    <w:rsid w:val="00EF7B96"/>
    <w:pPr>
      <w:keepNext/>
      <w:spacing w:before="240" w:after="60"/>
      <w:outlineLvl w:val="0"/>
    </w:pPr>
    <w:rPr>
      <w:rFonts w:ascii="Times New Roman" w:eastAsia="Times New Roman" w:hAnsi="Times New Roman" w:cs="Times New Roman"/>
      <w:b/>
      <w:bCs/>
      <w:i w:val="0"/>
      <w:kern w:val="32"/>
      <w:sz w:val="48"/>
      <w:szCs w:val="48"/>
      <w:bdr w:val="nil"/>
    </w:rPr>
  </w:style>
  <w:style w:type="paragraph" w:styleId="Heading2">
    <w:name w:val="heading 2"/>
    <w:basedOn w:val="Normal"/>
    <w:next w:val="Normal"/>
    <w:qFormat/>
    <w:rsid w:val="00EF7B96"/>
    <w:pPr>
      <w:keepNext/>
      <w:spacing w:before="240" w:after="60"/>
      <w:outlineLvl w:val="1"/>
    </w:pPr>
    <w:rPr>
      <w:rFonts w:ascii="Times New Roman" w:eastAsia="Times New Roman" w:hAnsi="Times New Roman" w:cs="Times New Roman"/>
      <w:b/>
      <w:bCs/>
      <w:i w:val="0"/>
      <w:iCs/>
      <w:sz w:val="36"/>
      <w:szCs w:val="36"/>
      <w:bdr w:val="nil"/>
    </w:rPr>
  </w:style>
  <w:style w:type="paragraph" w:styleId="Heading3">
    <w:name w:val="heading 3"/>
    <w:basedOn w:val="Normal"/>
    <w:next w:val="Normal"/>
    <w:qFormat/>
    <w:rsid w:val="00EF7B96"/>
    <w:pPr>
      <w:keepNext/>
      <w:spacing w:before="240" w:after="60"/>
      <w:outlineLvl w:val="2"/>
    </w:pPr>
    <w:rPr>
      <w:rFonts w:ascii="Times New Roman" w:eastAsia="Times New Roman" w:hAnsi="Times New Roman" w:cs="Times New Roman"/>
      <w:b/>
      <w:bCs/>
      <w:i w:val="0"/>
      <w:sz w:val="28"/>
      <w:szCs w:val="28"/>
      <w:bdr w:val="nil"/>
    </w:rPr>
  </w:style>
  <w:style w:type="paragraph" w:styleId="Heading4">
    <w:name w:val="heading 4"/>
    <w:basedOn w:val="Normal"/>
    <w:next w:val="Normal"/>
    <w:qFormat/>
    <w:rsid w:val="00EF7B96"/>
    <w:pPr>
      <w:keepNext/>
      <w:spacing w:before="240" w:after="60"/>
      <w:outlineLvl w:val="3"/>
    </w:pPr>
    <w:rPr>
      <w:rFonts w:ascii="Times New Roman" w:eastAsia="Times New Roman" w:hAnsi="Times New Roman" w:cs="Times New Roman"/>
      <w:b/>
      <w:bCs/>
      <w:i w:val="0"/>
      <w:sz w:val="24"/>
      <w:szCs w:val="24"/>
      <w:bdr w:val="nil"/>
    </w:rPr>
  </w:style>
  <w:style w:type="paragraph" w:styleId="Heading5">
    <w:name w:val="heading 5"/>
    <w:basedOn w:val="Normal"/>
    <w:next w:val="Normal"/>
    <w:qFormat/>
    <w:rsid w:val="00EF7B96"/>
    <w:pPr>
      <w:spacing w:before="240" w:after="60"/>
      <w:outlineLvl w:val="4"/>
    </w:pPr>
    <w:rPr>
      <w:rFonts w:ascii="Times New Roman" w:eastAsia="Times New Roman" w:hAnsi="Times New Roman" w:cs="Times New Roman"/>
      <w:b/>
      <w:bCs/>
      <w:i w:val="0"/>
      <w:iCs/>
      <w:sz w:val="20"/>
      <w:szCs w:val="20"/>
      <w:bdr w:val="nil"/>
    </w:rPr>
  </w:style>
  <w:style w:type="paragraph" w:styleId="Heading6">
    <w:name w:val="heading 6"/>
    <w:basedOn w:val="Normal"/>
    <w:next w:val="Normal"/>
    <w:qFormat/>
    <w:rsid w:val="00EF7B96"/>
    <w:pPr>
      <w:spacing w:before="240" w:after="60"/>
      <w:outlineLvl w:val="5"/>
    </w:pPr>
    <w:rPr>
      <w:rFonts w:ascii="Times New Roman" w:eastAsia="Times New Roman" w:hAnsi="Times New Roman" w:cs="Times New Roman"/>
      <w:b/>
      <w:bCs/>
      <w:i w:val="0"/>
      <w:sz w:val="16"/>
      <w:szCs w:val="16"/>
      <w:bdr w:val="nil"/>
    </w:rPr>
  </w:style>
  <w:style w:type="character" w:default="1" w:styleId="DefaultParagraphFont">
    <w:name w:val="Default Paragraph Font"/>
    <w:semiHidden/>
  </w:style>
  <w:style w:type="paragraph" w:customStyle="1" w:styleId="questionContentItem">
    <w:name w:val="questionContentItem"/>
    <w:basedOn w:val="Normal"/>
    <w:pPr/>
    <w:rPr>
      <w:bdr w:val="nil"/>
    </w:rPr>
  </w:style>
  <w:style w:type="paragraph" w:customStyle="1" w:styleId="p">
    <w:name w:val="p"/>
    <w:basedOn w:val="Normal"/>
    <w:pPr>
      <w:spacing w:before="0" w:beforeAutospacing="0" w:after="0" w:afterAutospacing="0"/>
    </w:pPr>
    <w:rPr>
      <w:bdr w:val="nil"/>
    </w:rPr>
  </w:style>
  <w:style w:type="table" w:customStyle="1" w:styleId="questionMetaData">
    <w:name w:val="questionMetaData"/>
    <w:tblPr/>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eader" Target="header1.xml" /><Relationship Id="rId5" Type="http://schemas.openxmlformats.org/officeDocument/2006/relationships/footer" Target="footer1.xml" /><Relationship Id="rId6" Type="http://schemas.openxmlformats.org/officeDocument/2006/relationships/styles" Target="styles.xml" /></Relationships>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Cengage Learning Testing, Powered by Cognero</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15 - The Evolution and Future of Training and Development</dc:title>
  <dc:creator>Mohammed Mattar</dc:creator>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nstructor ID">
    <vt:lpwstr>GE2TONZYHE2TOOBY</vt:lpwstr>
  </property>
</Properties>
</file>